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F0" w:rsidRDefault="005D32F0" w:rsidP="00A32DF3">
      <w:pPr>
        <w:jc w:val="right"/>
        <w:rPr>
          <w:b/>
        </w:rPr>
      </w:pPr>
      <w:r w:rsidRPr="005D32F0">
        <w:rPr>
          <w:b/>
          <w:noProof/>
          <w:lang w:eastAsia="nb-NO"/>
        </w:rPr>
        <w:drawing>
          <wp:inline distT="0" distB="0" distL="0" distR="0">
            <wp:extent cx="1053758" cy="1269239"/>
            <wp:effectExtent l="25400" t="0" r="0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30" cy="1289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F0" w:rsidRPr="00A32DF3" w:rsidRDefault="005D32F0" w:rsidP="005D32F0">
      <w:pPr>
        <w:jc w:val="center"/>
        <w:rPr>
          <w:b/>
          <w:sz w:val="32"/>
        </w:rPr>
      </w:pPr>
      <w:r w:rsidRPr="00A32DF3">
        <w:rPr>
          <w:b/>
          <w:sz w:val="32"/>
        </w:rPr>
        <w:t>YTELSESERKLÆRING</w:t>
      </w:r>
    </w:p>
    <w:p w:rsidR="005D32F0" w:rsidRPr="00A32DF3" w:rsidRDefault="005D32F0" w:rsidP="005D32F0">
      <w:pPr>
        <w:jc w:val="center"/>
        <w:rPr>
          <w:b/>
          <w:sz w:val="32"/>
        </w:rPr>
      </w:pPr>
      <w:r w:rsidRPr="00A32DF3">
        <w:rPr>
          <w:b/>
          <w:sz w:val="32"/>
        </w:rPr>
        <w:t>(</w:t>
      </w:r>
      <w:proofErr w:type="spellStart"/>
      <w:r w:rsidRPr="00A32DF3">
        <w:rPr>
          <w:b/>
          <w:sz w:val="32"/>
        </w:rPr>
        <w:t>Leistungserk</w:t>
      </w:r>
      <w:r w:rsidR="00FD7C5E">
        <w:rPr>
          <w:b/>
          <w:sz w:val="32"/>
        </w:rPr>
        <w:t>l</w:t>
      </w:r>
      <w:proofErr w:type="spellEnd"/>
      <w:r w:rsidR="00FD7C5E">
        <w:rPr>
          <w:b/>
          <w:sz w:val="32"/>
          <w:lang w:val="de-DE"/>
        </w:rPr>
        <w:t>ä</w:t>
      </w:r>
      <w:r w:rsidRPr="00A32DF3">
        <w:rPr>
          <w:b/>
          <w:sz w:val="32"/>
        </w:rPr>
        <w:t>rung)</w:t>
      </w:r>
    </w:p>
    <w:p w:rsidR="00A32DF3" w:rsidRPr="00A32DF3" w:rsidRDefault="005D32F0" w:rsidP="00D52D04">
      <w:pPr>
        <w:jc w:val="center"/>
        <w:rPr>
          <w:b/>
          <w:sz w:val="32"/>
        </w:rPr>
      </w:pPr>
      <w:bookmarkStart w:id="0" w:name="_GoBack"/>
      <w:r w:rsidRPr="00A32DF3">
        <w:rPr>
          <w:b/>
          <w:sz w:val="32"/>
        </w:rPr>
        <w:t xml:space="preserve">Nr. </w:t>
      </w:r>
      <w:r w:rsidRPr="00A32DF3">
        <w:rPr>
          <w:b/>
          <w:i/>
          <w:sz w:val="32"/>
        </w:rPr>
        <w:t>top</w:t>
      </w:r>
      <w:r w:rsidRPr="00A32DF3">
        <w:rPr>
          <w:b/>
          <w:sz w:val="32"/>
        </w:rPr>
        <w:t>Seal-2017-04</w:t>
      </w:r>
    </w:p>
    <w:bookmarkEnd w:id="0"/>
    <w:p w:rsidR="005D32F0" w:rsidRDefault="005D32F0" w:rsidP="005D32F0">
      <w:pPr>
        <w:jc w:val="center"/>
        <w:rPr>
          <w:b/>
        </w:rPr>
      </w:pPr>
    </w:p>
    <w:p w:rsidR="005D32F0" w:rsidRDefault="005D32F0" w:rsidP="005D32F0">
      <w:pPr>
        <w:jc w:val="center"/>
        <w:rPr>
          <w:b/>
        </w:rPr>
      </w:pPr>
    </w:p>
    <w:tbl>
      <w:tblPr>
        <w:tblStyle w:val="Tabellrutenett"/>
        <w:tblW w:w="0" w:type="auto"/>
        <w:tblLook w:val="00A0"/>
      </w:tblPr>
      <w:tblGrid>
        <w:gridCol w:w="4603"/>
        <w:gridCol w:w="4603"/>
      </w:tblGrid>
      <w:tr w:rsidR="005D32F0">
        <w:tc>
          <w:tcPr>
            <w:tcW w:w="4603" w:type="dxa"/>
          </w:tcPr>
          <w:p w:rsidR="005D32F0" w:rsidRDefault="005D32F0" w:rsidP="005D32F0">
            <w:pPr>
              <w:rPr>
                <w:b/>
              </w:rPr>
            </w:pPr>
            <w:r>
              <w:rPr>
                <w:b/>
              </w:rPr>
              <w:t>1. Varetypens unike identifikasjonskode:</w:t>
            </w:r>
          </w:p>
        </w:tc>
        <w:tc>
          <w:tcPr>
            <w:tcW w:w="4603" w:type="dxa"/>
          </w:tcPr>
          <w:p w:rsidR="005D32F0" w:rsidRPr="00A32DF3" w:rsidRDefault="005D32F0" w:rsidP="005D32F0">
            <w:r w:rsidRPr="00A32DF3">
              <w:t xml:space="preserve">EN 15651-1: 2012-12, </w:t>
            </w:r>
            <w:proofErr w:type="spellStart"/>
            <w:r w:rsidRPr="00A32DF3">
              <w:t>Typ</w:t>
            </w:r>
            <w:proofErr w:type="spellEnd"/>
            <w:r w:rsidRPr="00A32DF3">
              <w:t xml:space="preserve"> F </w:t>
            </w:r>
            <w:proofErr w:type="spellStart"/>
            <w:r w:rsidRPr="00A32DF3">
              <w:t>ext-int</w:t>
            </w:r>
            <w:proofErr w:type="spellEnd"/>
          </w:p>
          <w:p w:rsidR="005D32F0" w:rsidRPr="00A32DF3" w:rsidRDefault="005D32F0" w:rsidP="005D32F0">
            <w:r w:rsidRPr="00A32DF3">
              <w:t>TOPSEAL</w:t>
            </w:r>
          </w:p>
        </w:tc>
      </w:tr>
      <w:tr w:rsidR="005D32F0">
        <w:tc>
          <w:tcPr>
            <w:tcW w:w="4603" w:type="dxa"/>
          </w:tcPr>
          <w:p w:rsidR="005D32F0" w:rsidRDefault="005D32F0" w:rsidP="005D32F0">
            <w:pPr>
              <w:rPr>
                <w:b/>
              </w:rPr>
            </w:pPr>
            <w:r>
              <w:rPr>
                <w:b/>
              </w:rPr>
              <w:t>2. Type-, parti- eller serienummer:</w:t>
            </w:r>
          </w:p>
        </w:tc>
        <w:tc>
          <w:tcPr>
            <w:tcW w:w="4603" w:type="dxa"/>
          </w:tcPr>
          <w:p w:rsidR="005D32F0" w:rsidRPr="00A32DF3" w:rsidRDefault="00D358CC" w:rsidP="00D358CC">
            <w:r w:rsidRPr="00A32DF3">
              <w:t>Se emballasjen</w:t>
            </w:r>
          </w:p>
        </w:tc>
      </w:tr>
      <w:tr w:rsidR="005D32F0">
        <w:tc>
          <w:tcPr>
            <w:tcW w:w="4603" w:type="dxa"/>
          </w:tcPr>
          <w:p w:rsidR="005D32F0" w:rsidRDefault="00D358CC" w:rsidP="00D358CC">
            <w:pPr>
              <w:rPr>
                <w:b/>
              </w:rPr>
            </w:pPr>
            <w:r>
              <w:rPr>
                <w:b/>
              </w:rPr>
              <w:t>3. Tilsiktet bruksområde:</w:t>
            </w:r>
          </w:p>
        </w:tc>
        <w:tc>
          <w:tcPr>
            <w:tcW w:w="4603" w:type="dxa"/>
          </w:tcPr>
          <w:p w:rsidR="005D32F0" w:rsidRPr="00A32DF3" w:rsidRDefault="00D358CC" w:rsidP="00D358CC">
            <w:r w:rsidRPr="00A32DF3">
              <w:t xml:space="preserve">1-komponent tettestoff på basis av </w:t>
            </w:r>
            <w:proofErr w:type="spellStart"/>
            <w:r w:rsidRPr="00A32DF3">
              <w:t>acrylatdispersion</w:t>
            </w:r>
            <w:proofErr w:type="spellEnd"/>
            <w:r w:rsidRPr="00A32DF3">
              <w:t xml:space="preserve"> for intern- og ekstern anvendelse. Fuging av fasade: </w:t>
            </w:r>
            <w:proofErr w:type="spellStart"/>
            <w:r w:rsidRPr="00A32DF3">
              <w:t>Typ</w:t>
            </w:r>
            <w:proofErr w:type="spellEnd"/>
            <w:r w:rsidRPr="00A32DF3">
              <w:t xml:space="preserve"> F </w:t>
            </w:r>
            <w:proofErr w:type="spellStart"/>
            <w:r w:rsidRPr="00A32DF3">
              <w:t>ext-int</w:t>
            </w:r>
            <w:proofErr w:type="spellEnd"/>
            <w:r w:rsidRPr="00A32DF3">
              <w:t xml:space="preserve"> (F 12,5P)</w:t>
            </w:r>
          </w:p>
        </w:tc>
      </w:tr>
      <w:tr w:rsidR="005D32F0">
        <w:tc>
          <w:tcPr>
            <w:tcW w:w="4603" w:type="dxa"/>
          </w:tcPr>
          <w:p w:rsidR="005D32F0" w:rsidRDefault="00D358CC" w:rsidP="00D358CC">
            <w:pPr>
              <w:rPr>
                <w:b/>
              </w:rPr>
            </w:pPr>
            <w:r>
              <w:rPr>
                <w:b/>
              </w:rPr>
              <w:t>4. Produsent:</w:t>
            </w:r>
          </w:p>
        </w:tc>
        <w:tc>
          <w:tcPr>
            <w:tcW w:w="4603" w:type="dxa"/>
          </w:tcPr>
          <w:p w:rsidR="00D358CC" w:rsidRPr="00A32DF3" w:rsidRDefault="00D358CC" w:rsidP="00D358CC">
            <w:r w:rsidRPr="00A32DF3">
              <w:t xml:space="preserve">Lange </w:t>
            </w:r>
            <w:proofErr w:type="spellStart"/>
            <w:r w:rsidRPr="00A32DF3">
              <w:t>Blockhausdichtung</w:t>
            </w:r>
            <w:proofErr w:type="spellEnd"/>
          </w:p>
          <w:p w:rsidR="00D358CC" w:rsidRPr="00A32DF3" w:rsidRDefault="00D358CC" w:rsidP="00D358CC">
            <w:proofErr w:type="spellStart"/>
            <w:r w:rsidRPr="00A32DF3">
              <w:t>Wilhelmstrasse</w:t>
            </w:r>
            <w:proofErr w:type="spellEnd"/>
            <w:r w:rsidRPr="00A32DF3">
              <w:t xml:space="preserve"> 16</w:t>
            </w:r>
          </w:p>
          <w:p w:rsidR="00D358CC" w:rsidRPr="00A32DF3" w:rsidRDefault="00D358CC" w:rsidP="00D358CC">
            <w:r w:rsidRPr="00A32DF3">
              <w:t xml:space="preserve">73525 </w:t>
            </w:r>
            <w:proofErr w:type="spellStart"/>
            <w:r w:rsidRPr="00A32DF3">
              <w:t>Schw</w:t>
            </w:r>
            <w:r w:rsidR="00FD7C5E">
              <w:t>ä</w:t>
            </w:r>
            <w:r w:rsidRPr="00A32DF3">
              <w:t>bisch</w:t>
            </w:r>
            <w:proofErr w:type="spellEnd"/>
            <w:r w:rsidRPr="00A32DF3">
              <w:t xml:space="preserve"> </w:t>
            </w:r>
            <w:proofErr w:type="spellStart"/>
            <w:r w:rsidRPr="00A32DF3">
              <w:t>Gmund</w:t>
            </w:r>
            <w:proofErr w:type="spellEnd"/>
          </w:p>
          <w:p w:rsidR="005D32F0" w:rsidRPr="00A32DF3" w:rsidRDefault="00D358CC" w:rsidP="00D358CC">
            <w:r w:rsidRPr="00A32DF3">
              <w:t>Tyskland</w:t>
            </w:r>
          </w:p>
        </w:tc>
      </w:tr>
      <w:tr w:rsidR="005D32F0">
        <w:tc>
          <w:tcPr>
            <w:tcW w:w="4603" w:type="dxa"/>
          </w:tcPr>
          <w:p w:rsidR="005D32F0" w:rsidRDefault="00D358CC" w:rsidP="00FB4B8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FB4B8A">
              <w:rPr>
                <w:b/>
              </w:rPr>
              <w:t xml:space="preserve"> Autorisert representant:</w:t>
            </w:r>
          </w:p>
        </w:tc>
        <w:tc>
          <w:tcPr>
            <w:tcW w:w="4603" w:type="dxa"/>
          </w:tcPr>
          <w:p w:rsidR="005D32F0" w:rsidRPr="00A32DF3" w:rsidRDefault="00FB4B8A" w:rsidP="00D358CC">
            <w:r w:rsidRPr="00A32DF3">
              <w:t>Ikke relevant</w:t>
            </w:r>
          </w:p>
        </w:tc>
      </w:tr>
      <w:tr w:rsidR="005D32F0">
        <w:tc>
          <w:tcPr>
            <w:tcW w:w="4603" w:type="dxa"/>
          </w:tcPr>
          <w:p w:rsidR="005D32F0" w:rsidRDefault="00FB4B8A" w:rsidP="00FB4B8A">
            <w:pPr>
              <w:rPr>
                <w:b/>
              </w:rPr>
            </w:pPr>
            <w:r>
              <w:rPr>
                <w:b/>
              </w:rPr>
              <w:t>6. System eller systemer for vurdering og verifikasjon av byggevarers ytelser:</w:t>
            </w:r>
          </w:p>
        </w:tc>
        <w:tc>
          <w:tcPr>
            <w:tcW w:w="4603" w:type="dxa"/>
          </w:tcPr>
          <w:p w:rsidR="005D32F0" w:rsidRPr="00A32DF3" w:rsidRDefault="00FB4B8A" w:rsidP="00FB4B8A">
            <w:r w:rsidRPr="00A32DF3">
              <w:t>System 3 for typetester. System 3 for branntekniske tester</w:t>
            </w:r>
          </w:p>
        </w:tc>
      </w:tr>
      <w:tr w:rsidR="005D32F0">
        <w:tc>
          <w:tcPr>
            <w:tcW w:w="4603" w:type="dxa"/>
          </w:tcPr>
          <w:p w:rsidR="005D32F0" w:rsidRDefault="00FB4B8A" w:rsidP="00FB4B8A">
            <w:pPr>
              <w:rPr>
                <w:b/>
              </w:rPr>
            </w:pPr>
            <w:r>
              <w:rPr>
                <w:b/>
              </w:rPr>
              <w:t>7. Teknisk kontrollorgan:</w:t>
            </w:r>
          </w:p>
        </w:tc>
        <w:tc>
          <w:tcPr>
            <w:tcW w:w="4603" w:type="dxa"/>
          </w:tcPr>
          <w:p w:rsidR="005D32F0" w:rsidRPr="00A32DF3" w:rsidRDefault="00FB4B8A" w:rsidP="00FB4B8A">
            <w:r w:rsidRPr="00A32DF3">
              <w:t>Ginger CEBTP,</w:t>
            </w:r>
            <w:r w:rsidR="00D07B98" w:rsidRPr="00A32DF3">
              <w:t xml:space="preserve"> </w:t>
            </w:r>
            <w:proofErr w:type="spellStart"/>
            <w:r w:rsidR="00D07B98" w:rsidRPr="00A32DF3">
              <w:t>NB-Nr</w:t>
            </w:r>
            <w:proofErr w:type="spellEnd"/>
            <w:r w:rsidR="00D07B98" w:rsidRPr="00A32DF3">
              <w:t>. 0074 har som akkreditert testlaboratorium i System 3 gjennomført produkttestene og utstedt testrapport</w:t>
            </w:r>
          </w:p>
        </w:tc>
      </w:tr>
      <w:tr w:rsidR="005D32F0">
        <w:tc>
          <w:tcPr>
            <w:tcW w:w="4603" w:type="dxa"/>
          </w:tcPr>
          <w:p w:rsidR="005D32F0" w:rsidRDefault="0049529B" w:rsidP="0049529B">
            <w:pPr>
              <w:rPr>
                <w:b/>
              </w:rPr>
            </w:pPr>
            <w:r>
              <w:rPr>
                <w:b/>
              </w:rPr>
              <w:t>8. ETA:</w:t>
            </w:r>
          </w:p>
        </w:tc>
        <w:tc>
          <w:tcPr>
            <w:tcW w:w="4603" w:type="dxa"/>
          </w:tcPr>
          <w:p w:rsidR="005D32F0" w:rsidRPr="00A32DF3" w:rsidRDefault="0049529B" w:rsidP="0049529B">
            <w:r w:rsidRPr="00A32DF3">
              <w:t>Ikke relevant</w:t>
            </w:r>
          </w:p>
        </w:tc>
      </w:tr>
    </w:tbl>
    <w:p w:rsidR="005D32F0" w:rsidRDefault="005D32F0" w:rsidP="00C55A9D"/>
    <w:p w:rsidR="0049529B" w:rsidRPr="00A32DF3" w:rsidRDefault="0049529B" w:rsidP="005E08D9">
      <w:pPr>
        <w:rPr>
          <w:b/>
        </w:rPr>
      </w:pPr>
      <w:r w:rsidRPr="00A32DF3">
        <w:rPr>
          <w:b/>
        </w:rPr>
        <w:t>9. Angitte ytelser</w:t>
      </w:r>
    </w:p>
    <w:p w:rsidR="005E08D9" w:rsidRDefault="0049529B" w:rsidP="005E08D9">
      <w:r>
        <w:t>Bearbeiding: Metode A; Underlag: Mørtel M2; uten primer</w:t>
      </w:r>
    </w:p>
    <w:tbl>
      <w:tblPr>
        <w:tblStyle w:val="Tabellrutenett"/>
        <w:tblW w:w="0" w:type="auto"/>
        <w:tblLook w:val="00A0"/>
      </w:tblPr>
      <w:tblGrid>
        <w:gridCol w:w="3068"/>
        <w:gridCol w:w="3069"/>
        <w:gridCol w:w="3069"/>
      </w:tblGrid>
      <w:tr w:rsidR="005E08D9">
        <w:tc>
          <w:tcPr>
            <w:tcW w:w="3068" w:type="dxa"/>
          </w:tcPr>
          <w:p w:rsidR="005E08D9" w:rsidRPr="00A32DF3" w:rsidRDefault="005E08D9" w:rsidP="005E08D9">
            <w:pPr>
              <w:rPr>
                <w:b/>
              </w:rPr>
            </w:pPr>
            <w:r w:rsidRPr="00A32DF3">
              <w:rPr>
                <w:b/>
              </w:rPr>
              <w:t>Vesentlige egenskaper</w:t>
            </w:r>
          </w:p>
        </w:tc>
        <w:tc>
          <w:tcPr>
            <w:tcW w:w="3069" w:type="dxa"/>
          </w:tcPr>
          <w:p w:rsidR="005E08D9" w:rsidRPr="00A32DF3" w:rsidRDefault="005E08D9" w:rsidP="005E08D9">
            <w:pPr>
              <w:rPr>
                <w:b/>
              </w:rPr>
            </w:pPr>
            <w:r w:rsidRPr="00A32DF3">
              <w:rPr>
                <w:b/>
              </w:rPr>
              <w:t>Ytelse</w:t>
            </w:r>
          </w:p>
        </w:tc>
        <w:tc>
          <w:tcPr>
            <w:tcW w:w="3069" w:type="dxa"/>
          </w:tcPr>
          <w:p w:rsidR="005E08D9" w:rsidRPr="00A32DF3" w:rsidRDefault="005E08D9" w:rsidP="005E08D9">
            <w:pPr>
              <w:rPr>
                <w:b/>
              </w:rPr>
            </w:pPr>
            <w:r w:rsidRPr="00A32DF3">
              <w:rPr>
                <w:b/>
              </w:rPr>
              <w:t>Harmonisert teknisk spesifikasjon</w:t>
            </w:r>
          </w:p>
        </w:tc>
      </w:tr>
      <w:tr w:rsidR="00E02187">
        <w:tc>
          <w:tcPr>
            <w:tcW w:w="3068" w:type="dxa"/>
          </w:tcPr>
          <w:p w:rsidR="00E02187" w:rsidRDefault="00E02187" w:rsidP="005E08D9">
            <w:r>
              <w:t>Brannegenskaper (EN 13501)</w:t>
            </w:r>
          </w:p>
        </w:tc>
        <w:tc>
          <w:tcPr>
            <w:tcW w:w="3069" w:type="dxa"/>
          </w:tcPr>
          <w:p w:rsidR="00E02187" w:rsidRDefault="00E02187" w:rsidP="005E08D9">
            <w:r>
              <w:t>Klasse E</w:t>
            </w:r>
          </w:p>
        </w:tc>
        <w:tc>
          <w:tcPr>
            <w:tcW w:w="3069" w:type="dxa"/>
            <w:vMerge w:val="restart"/>
          </w:tcPr>
          <w:p w:rsidR="00B94554" w:rsidRDefault="00B94554" w:rsidP="005E08D9"/>
          <w:p w:rsidR="00B94554" w:rsidRDefault="00B94554" w:rsidP="005E08D9"/>
          <w:p w:rsidR="00B94554" w:rsidRDefault="00B94554" w:rsidP="005E08D9"/>
          <w:p w:rsidR="00B94554" w:rsidRDefault="00B94554" w:rsidP="005E08D9"/>
          <w:p w:rsidR="00E02187" w:rsidRPr="005E08D9" w:rsidRDefault="00B94554" w:rsidP="005E08D9">
            <w:r>
              <w:t>EN 15651-1: 2012-12</w:t>
            </w:r>
          </w:p>
        </w:tc>
      </w:tr>
      <w:tr w:rsidR="00E02187">
        <w:tc>
          <w:tcPr>
            <w:tcW w:w="3068" w:type="dxa"/>
          </w:tcPr>
          <w:p w:rsidR="00E02187" w:rsidRDefault="00E02187" w:rsidP="005E08D9">
            <w:r>
              <w:t>Farlige substanser</w:t>
            </w:r>
          </w:p>
        </w:tc>
        <w:tc>
          <w:tcPr>
            <w:tcW w:w="3069" w:type="dxa"/>
          </w:tcPr>
          <w:p w:rsidR="00E02187" w:rsidRDefault="00E02187" w:rsidP="005E08D9">
            <w:r>
              <w:t>Ikke påvist</w:t>
            </w:r>
          </w:p>
        </w:tc>
        <w:tc>
          <w:tcPr>
            <w:tcW w:w="3069" w:type="dxa"/>
            <w:vMerge/>
          </w:tcPr>
          <w:p w:rsidR="00E02187" w:rsidRPr="005E08D9" w:rsidRDefault="00E02187" w:rsidP="005E08D9"/>
        </w:tc>
      </w:tr>
      <w:tr w:rsidR="00E02187">
        <w:tc>
          <w:tcPr>
            <w:tcW w:w="3068" w:type="dxa"/>
          </w:tcPr>
          <w:p w:rsidR="00E02187" w:rsidRDefault="00E02187" w:rsidP="005E08D9">
            <w:r>
              <w:t>Sig (EN ISO 7390)</w:t>
            </w:r>
          </w:p>
        </w:tc>
        <w:tc>
          <w:tcPr>
            <w:tcW w:w="3069" w:type="dxa"/>
          </w:tcPr>
          <w:p w:rsidR="00E02187" w:rsidRDefault="00E02187" w:rsidP="005E08D9">
            <w:r>
              <w:t>≤ 3 mm</w:t>
            </w:r>
          </w:p>
        </w:tc>
        <w:tc>
          <w:tcPr>
            <w:tcW w:w="3069" w:type="dxa"/>
            <w:vMerge/>
          </w:tcPr>
          <w:p w:rsidR="00E02187" w:rsidRPr="005E08D9" w:rsidRDefault="00E02187" w:rsidP="005E08D9"/>
        </w:tc>
      </w:tr>
      <w:tr w:rsidR="00E02187">
        <w:tc>
          <w:tcPr>
            <w:tcW w:w="3068" w:type="dxa"/>
          </w:tcPr>
          <w:p w:rsidR="00E02187" w:rsidRDefault="00E02187" w:rsidP="005E08D9">
            <w:r>
              <w:t>Krymp (EN ISO 10563)</w:t>
            </w:r>
          </w:p>
        </w:tc>
        <w:tc>
          <w:tcPr>
            <w:tcW w:w="3069" w:type="dxa"/>
          </w:tcPr>
          <w:p w:rsidR="00E02187" w:rsidRDefault="00E02187" w:rsidP="005E08D9">
            <w:r>
              <w:t>≤ 30 %</w:t>
            </w:r>
          </w:p>
        </w:tc>
        <w:tc>
          <w:tcPr>
            <w:tcW w:w="3069" w:type="dxa"/>
            <w:vMerge/>
          </w:tcPr>
          <w:p w:rsidR="00E02187" w:rsidRPr="005E08D9" w:rsidRDefault="00E02187" w:rsidP="005E08D9"/>
        </w:tc>
      </w:tr>
      <w:tr w:rsidR="00E02187">
        <w:tc>
          <w:tcPr>
            <w:tcW w:w="3068" w:type="dxa"/>
          </w:tcPr>
          <w:p w:rsidR="00E02187" w:rsidRDefault="00E02187" w:rsidP="005E08D9">
            <w:proofErr w:type="spellStart"/>
            <w:r>
              <w:t>Adhesjon-</w:t>
            </w:r>
            <w:proofErr w:type="spellEnd"/>
            <w:r>
              <w:t>/</w:t>
            </w:r>
            <w:r w:rsidR="00B94554">
              <w:t xml:space="preserve"> Kohesjonsegenskaper etter nedsenking i vann (EN ISO 10591)</w:t>
            </w:r>
          </w:p>
        </w:tc>
        <w:tc>
          <w:tcPr>
            <w:tcW w:w="3069" w:type="dxa"/>
          </w:tcPr>
          <w:p w:rsidR="00E02187" w:rsidRDefault="00B94554" w:rsidP="005E08D9">
            <w:r>
              <w:t>≥ 100 %</w:t>
            </w:r>
          </w:p>
        </w:tc>
        <w:tc>
          <w:tcPr>
            <w:tcW w:w="3069" w:type="dxa"/>
            <w:vMerge/>
          </w:tcPr>
          <w:p w:rsidR="00E02187" w:rsidRPr="005E08D9" w:rsidRDefault="00E02187" w:rsidP="005E08D9"/>
        </w:tc>
      </w:tr>
      <w:tr w:rsidR="00E02187">
        <w:tc>
          <w:tcPr>
            <w:tcW w:w="3068" w:type="dxa"/>
          </w:tcPr>
          <w:p w:rsidR="00E02187" w:rsidRDefault="00B94554" w:rsidP="005E08D9">
            <w:r>
              <w:t>Bestandighet (EN ISO 8339, EN ISO 9046, EN ISO 10591)</w:t>
            </w:r>
          </w:p>
        </w:tc>
        <w:tc>
          <w:tcPr>
            <w:tcW w:w="3069" w:type="dxa"/>
          </w:tcPr>
          <w:p w:rsidR="00E02187" w:rsidRDefault="00B94554" w:rsidP="005E08D9">
            <w:r>
              <w:t>Bestått</w:t>
            </w:r>
          </w:p>
        </w:tc>
        <w:tc>
          <w:tcPr>
            <w:tcW w:w="3069" w:type="dxa"/>
            <w:vMerge/>
          </w:tcPr>
          <w:p w:rsidR="00E02187" w:rsidRPr="005E08D9" w:rsidRDefault="00E02187" w:rsidP="005E08D9"/>
        </w:tc>
      </w:tr>
    </w:tbl>
    <w:p w:rsidR="00C55A9D" w:rsidRDefault="00C55A9D"/>
    <w:p w:rsidR="00C55A9D" w:rsidRPr="0076253B" w:rsidRDefault="00C55A9D">
      <w:pPr>
        <w:rPr>
          <w:b/>
        </w:rPr>
      </w:pPr>
      <w:r w:rsidRPr="0076253B">
        <w:rPr>
          <w:b/>
        </w:rPr>
        <w:t>10. Erklæring</w:t>
      </w:r>
    </w:p>
    <w:p w:rsidR="0076253B" w:rsidRDefault="0076253B">
      <w:r>
        <w:t>Ytelsen for produktet som angitt i pkt.1 og 2, er i samsvar med ytelsen angitt i punkt 9. Denne ytelseserklæring er utstedt på eget ansvar av produsenten, som angitt i pkt 4.</w:t>
      </w:r>
    </w:p>
    <w:p w:rsidR="0076253B" w:rsidRDefault="0076253B"/>
    <w:p w:rsidR="0076253B" w:rsidRDefault="0076253B">
      <w:r>
        <w:t>Underskrevet for og på vegne av produsenten av:</w:t>
      </w:r>
    </w:p>
    <w:p w:rsidR="0076253B" w:rsidRDefault="0076253B"/>
    <w:p w:rsidR="0076253B" w:rsidRDefault="0076253B"/>
    <w:p w:rsidR="0076253B" w:rsidRDefault="0076253B"/>
    <w:p w:rsidR="0076253B" w:rsidRDefault="0076253B"/>
    <w:p w:rsidR="0076253B" w:rsidRDefault="0076253B"/>
    <w:p w:rsidR="0076253B" w:rsidRDefault="0076253B"/>
    <w:p w:rsidR="0076253B" w:rsidRDefault="0076253B">
      <w:r>
        <w:t>Øyvind Haganæs</w:t>
      </w:r>
    </w:p>
    <w:p w:rsidR="00FD7C5E" w:rsidRDefault="00FD7C5E">
      <w:r>
        <w:t>Reint Tre AS</w:t>
      </w:r>
    </w:p>
    <w:p w:rsidR="0076253B" w:rsidRDefault="0076253B"/>
    <w:p w:rsidR="00C55A9D" w:rsidRDefault="0076253B">
      <w:r>
        <w:t>Aurdal, 10.02. 2019</w:t>
      </w:r>
    </w:p>
    <w:p w:rsidR="00C55A9D" w:rsidRDefault="00C55A9D"/>
    <w:p w:rsidR="000F60F5" w:rsidRDefault="000F60F5"/>
    <w:p w:rsidR="000F60F5" w:rsidRDefault="000F60F5"/>
    <w:p w:rsidR="000F60F5" w:rsidRDefault="000F60F5"/>
    <w:p w:rsidR="000F60F5" w:rsidRDefault="000F60F5"/>
    <w:p w:rsidR="000F60F5" w:rsidRDefault="000F60F5"/>
    <w:p w:rsidR="000F60F5" w:rsidRDefault="000F60F5">
      <w:r>
        <w:t>Heinz Lange</w:t>
      </w:r>
    </w:p>
    <w:p w:rsidR="000F60F5" w:rsidRDefault="000F60F5" w:rsidP="000F60F5">
      <w:r w:rsidRPr="000F60F5">
        <w:t xml:space="preserve">Lange </w:t>
      </w:r>
      <w:proofErr w:type="spellStart"/>
      <w:r w:rsidRPr="000F60F5">
        <w:t>Blockhausdichtung</w:t>
      </w:r>
      <w:proofErr w:type="spellEnd"/>
    </w:p>
    <w:p w:rsidR="000F60F5" w:rsidRDefault="000F60F5" w:rsidP="000F60F5"/>
    <w:p w:rsidR="000F60F5" w:rsidRPr="000F60F5" w:rsidRDefault="000F60F5" w:rsidP="000F60F5">
      <w:proofErr w:type="spellStart"/>
      <w:r w:rsidRPr="000F60F5">
        <w:t>Schwäbisch</w:t>
      </w:r>
      <w:proofErr w:type="spellEnd"/>
      <w:r w:rsidRPr="000F60F5">
        <w:t xml:space="preserve"> </w:t>
      </w:r>
      <w:proofErr w:type="spellStart"/>
      <w:r w:rsidRPr="000F60F5">
        <w:t>Gmund</w:t>
      </w:r>
      <w:proofErr w:type="spellEnd"/>
      <w:r>
        <w:t>, 10.02.2019</w:t>
      </w:r>
    </w:p>
    <w:p w:rsidR="000F60F5" w:rsidRDefault="000F60F5"/>
    <w:p w:rsidR="00C55A9D" w:rsidRDefault="00C55A9D"/>
    <w:p w:rsidR="005D32F0" w:rsidRDefault="005D32F0"/>
    <w:p w:rsidR="005D32F0" w:rsidRDefault="005D32F0" w:rsidP="00C55A9D"/>
    <w:sectPr w:rsidR="005D32F0" w:rsidSect="005D32F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5D32F0"/>
    <w:rsid w:val="000514E1"/>
    <w:rsid w:val="000F60F5"/>
    <w:rsid w:val="00134950"/>
    <w:rsid w:val="00161A4F"/>
    <w:rsid w:val="001B449F"/>
    <w:rsid w:val="00216DE5"/>
    <w:rsid w:val="002E6ABC"/>
    <w:rsid w:val="003B3C80"/>
    <w:rsid w:val="003F0459"/>
    <w:rsid w:val="0049529B"/>
    <w:rsid w:val="005D32F0"/>
    <w:rsid w:val="005E08D9"/>
    <w:rsid w:val="0076253B"/>
    <w:rsid w:val="00A32DF3"/>
    <w:rsid w:val="00B94554"/>
    <w:rsid w:val="00C55A9D"/>
    <w:rsid w:val="00D07B98"/>
    <w:rsid w:val="00D358CC"/>
    <w:rsid w:val="00D52D04"/>
    <w:rsid w:val="00E02187"/>
    <w:rsid w:val="00FB4B8A"/>
    <w:rsid w:val="00FC26E0"/>
    <w:rsid w:val="00FD7C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CC"/>
  </w:style>
  <w:style w:type="paragraph" w:styleId="Overskrift1">
    <w:name w:val="heading 1"/>
    <w:basedOn w:val="Normal"/>
    <w:next w:val="Normal"/>
    <w:link w:val="Overskrift1Tegn"/>
    <w:uiPriority w:val="9"/>
    <w:qFormat/>
    <w:rsid w:val="005D32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32F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lrutenett">
    <w:name w:val="Table Grid"/>
    <w:basedOn w:val="Vanligtabell"/>
    <w:uiPriority w:val="59"/>
    <w:rsid w:val="005D32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349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4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Meta Helse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Vibeke Aune</dc:creator>
  <cp:lastModifiedBy>Øyvind</cp:lastModifiedBy>
  <cp:revision>4</cp:revision>
  <cp:lastPrinted>2019-02-11T10:17:00Z</cp:lastPrinted>
  <dcterms:created xsi:type="dcterms:W3CDTF">2019-02-11T10:18:00Z</dcterms:created>
  <dcterms:modified xsi:type="dcterms:W3CDTF">2019-02-11T15:33:00Z</dcterms:modified>
</cp:coreProperties>
</file>